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Terminsbestimmung muß durch einmalige Einrückung in das für Bekanntmachungen des Gerichts bestimmte Blatt oder in einem für das Gericht bestimmten elektronischen Informations- und Kommunikationssystem öffentlich bekanntgemacht werden.</w:t>
      </w:r>
    </w:p>
    <w:p>
      <w:r>
        <w:t xml:space="preserve">(2) Hat das Grundstück nur einen geringen Wert, so kann das Gericht anordnen, daß die Einrückung oder Veröffentlichung nach Absatz 1 unterbleibt; in diesem Fall muß die Bekanntmachung dadurch erfolgen, daß die Terminsbestimmung in der Gemeinde, in deren Bezirk das Grundstück belegen ist, an die für amtliche Bekanntmachungen bestimmte Stelle angeheftet wird.</w:t>
      </w:r>
    </w:p>
    <w:p>
      <w:r>
        <w:rPr>
          <w:color w:val="555555"/>
          <w:sz w:val="17"/>
        </w:rPr>
        <w:t xml:space="preserve">Zitiervorschlag: § 39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