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Terminsbestimmung soll die Angabe des Grundbuchblatts, der Größe und des Verkehrswerts des Grundstücks enthalten. Ist in einem früheren Versteigerungstermin der Zuschlag aus den Gründen des § 74a Abs. 1 oder des § 85a Abs. 1 versagt worden, so soll auch diese Tatsache in der Terminsbestimmung angegeben werden.</w:t>
      </w:r>
    </w:p>
    <w:p>
      <w:r>
        <w:t xml:space="preserve">(2) Das Gericht kann Wertgutachten und Abschätzungen in einem für das Gericht bestimmten elektronischen Informations- und Kommunikationssystem öffentlich bekannt machen.</w:t>
      </w:r>
    </w:p>
    <w:p>
      <w:r>
        <w:rPr>
          <w:color w:val="555555"/>
          <w:sz w:val="17"/>
        </w:rPr>
        <w:t xml:space="preserve">Zitiervorschlag: § 38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