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30b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einstweilige Einstellung ist binnen einer Notfrist von zwei Wochen zu beantragen. Die Frist beginnt mit der Zustellung der Verfügung, in welcher der Schuldner auf das Recht zur Stellung des Einstellungsantrages, den Fristbeginn und die Rechtsfolgen eines fruchtlosen Fristablaufs hingewiesen wird. Der Hinweis ist möglichst zugleich mit dem Beschluß, durch den die Zwangsversteigerung angeordnet wird, zuzustellen.</w:t>
      </w:r>
    </w:p>
    <w:p>
      <w:r>
        <w:t xml:space="preserve">(2) Die Entscheidung über den Antrag auf einstweilige Einstellung des Verfahrens ergeht durch Beschluß. Vor der Entscheidung sind der Schuldner und der betreibende Gläubiger zu hören; in geeigneten Fällen kann das Gericht mündliche Verhandlung anberaumen. Der Schuldner und der betreibende Gläubiger haben ihre Angaben auf Verlangen des Gerichts glaubhaft zu machen.</w:t>
      </w:r>
    </w:p>
    <w:p>
      <w:r>
        <w:t xml:space="preserve">(3) Gegen die Entscheidung ist die sofortige Beschwerde zulässig; vor der Entscheidung ist der Gegner zu hören.</w:t>
      </w:r>
    </w:p>
    <w:p>
      <w:r>
        <w:t xml:space="preserve">(4) Der Versteigerungstermin soll erst nach Rechtskraft des die einstweilige Einstellung ablehnenden Beschlusses bekanntgegeben werden.</w:t>
      </w:r>
    </w:p>
    <w:p>
      <w:r>
        <w:rPr>
          <w:color w:val="555555"/>
          <w:sz w:val="17"/>
        </w:rPr>
        <w:t xml:space="preserve">Zitiervorschlag: § 30b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