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Das Verfahren ist auf Antrag des Schuldners einstweilen auf die Dauer von höchstens sechs Monaten einzustellen, wenn Aussicht besteht, daß durch die Einstellung die Versteigerung vermieden wird, und wenn die Einstellung nach den persönlichen und wirtschaftlichen Verhältnissen des Schuldners sowie nach der Art der Schuld der Billigkeit entspricht.</w:t>
      </w:r>
    </w:p>
    <w:p>
      <w:r>
        <w:t xml:space="preserve">(2) Der Antrag ist abzulehnen, wenn die einstweilige Einstellung dem betreibenden Gläubiger unter Berücksichtigung seiner wirtschaftlichen Verhältnisse nicht zuzumuten ist, insbesondere ihm einen unverhältnismäßigen Nachteil bringen würde, oder wenn mit Rücksicht auf die Beschaffenheit oder die sonstigen Verhältnisse des Grundstücks anzunehmen ist, daß die Versteigerung zu einem späteren Zeitpunkt einen wesentlich geringeren Erlös bringen würde.</w:t>
      </w:r>
    </w:p>
    <w:p>
      <w:r>
        <w:t xml:space="preserve">(3) Die einstweilige Einstellung kann auch mit der Maßgabe angeordnet werden, daß sie außer Kraft tritt, wenn der Schuldner die während der Einstellung fällig werdenden wiederkehrenden Leistungen nicht binnen zwei Wochen nach Eintritt der Fälligkeit bewirkt. Wird die Zwangsversteigerung von einem Gläubiger betrieben, dessen Hypothek oder Grundschuld innerhalb der ersten sieben Zehntel des Grundstückswertes steht, so darf das Gericht von einer solchen Anordnung nur insoweit absehen, als dies nach den besonderen Umständen des Falles zur Wiederherstellung einer geordneten wirtschaftlichen Lage des Schuldners geboten und dem Gläubiger unter Berücksichtigung seiner gesamten wirtschaftlichen Verhältnisse, insbesondere seiner eigenen Zinsverpflichtungen, zuzumuten ist.</w:t>
      </w:r>
    </w:p>
    <w:p>
      <w:r>
        <w:t xml:space="preserve">(4) Das Gericht kann ferner anordnen, daß der Schuldner Zahlungen auf Rückstände wiederkehrender Leistungen zu bestimmten Terminen zu bewirken hat.</w:t>
      </w:r>
    </w:p>
    <w:p>
      <w:r>
        <w:t xml:space="preserve">(5) Das Gericht kann schließlich die einstweilige Einstellung von sonstigen Auflagen mit der Maßgabe abhängig machen, daß die einstweilige Einstellung des Verfahrens bei Nichterfüllung dieser Auflagen außer Kraft tritt.</w:t>
      </w:r>
    </w:p>
    <w:p>
      <w:r>
        <w:rPr>
          <w:color w:val="555555"/>
          <w:sz w:val="17"/>
        </w:rPr>
        <w:t xml:space="preserve">Zitiervorschlag: § 30a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