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Das Verfahren ist einstweilen einzustellen, wenn der Gläubiger die Einstellung bewilligt. Die Einstellung kann wiederholt bewilligt werden. Ist das Verfahren auf Grund einer Bewilligung des Gläubigers bereits zweimal eingestellt, so gilt eine erneute Einstellungsbewilligung als Rücknahme des Versteigerungsantrags.</w:t>
      </w:r>
    </w:p>
    <w:p>
      <w:r>
        <w:t xml:space="preserve">(2) Der Bewilligung der Einstellung steht es gleich, wenn der Gläubiger die Aufhebung des Versteigerungstermins bewilligt.</w:t>
      </w:r>
    </w:p>
    <w:p>
      <w:r>
        <w:rPr>
          <w:color w:val="555555"/>
          <w:sz w:val="17"/>
        </w:rPr>
        <w:t xml:space="preserve">Zitiervorschlag: § 30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