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dem Vollstreckungsgericht ein aus dem Grundbuch ersichtliches Recht bekannt, welches der Zwangsversteigerung oder der Fortsetzung des Verfahrens entgegensteht, so hat das Gericht das Verfahren entweder sofort aufzuheben oder unter Bestimmung einer Frist, binnen welcher der Gläubiger die Hebung des Hindernisses nachzuweisen hat, einstweilen einzustellen. Im letzteren Fall ist das Verfahren nach dem Ablauf der Frist aufzuheben, wenn nicht inzwischen der Nachweis erbracht ist.</w:t>
      </w:r>
    </w:p>
    <w:p>
      <w:r>
        <w:t xml:space="preserve">(2) Wird dem Vollstreckungsgericht eine Verfügungsbeschränkung oder ein Vollstreckungsmangel bekannt, ist Absatz 1 entsprechend anzuwenden.</w:t>
      </w:r>
    </w:p>
    <w:p>
      <w:r>
        <w:rPr>
          <w:color w:val="555555"/>
          <w:sz w:val="17"/>
        </w:rPr>
        <w:t xml:space="preserve">Zitiervorschlag: § 28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