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Wird nach der Anordnung der Zwangsversteigerung ein weiterer Antrag auf Zwangsversteigerung des Grundstücks gestellt, so erfolgt statt des Versteigerungsbeschlusses die Anordnung, daß der Beitritt des Antragstellers zu dem Verfahren zugelassen wird. Eine Eintragung dieser Anordnung in das Grundbuch findet nicht statt.</w:t>
      </w:r>
    </w:p>
    <w:p>
      <w:r>
        <w:t xml:space="preserve">(2) Der Gläubiger, dessen Beitritt zugelassen ist, hat dieselben Rechte, wie wenn auf seinen Antrag die Versteigerung angeordnet wäre.</w:t>
      </w:r>
    </w:p>
    <w:p>
      <w:r>
        <w:rPr>
          <w:color w:val="555555"/>
          <w:sz w:val="17"/>
        </w:rPr>
        <w:t xml:space="preserve">Zitiervorschlag: § 27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