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Die Beschlagnahme des Grundstücks wird mit dem Zeitpunkt wirksam, in welchem der Beschluß, durch den die Zwangsversteigerung angeordnet ist, dem Schuldner zugestellt wird. Sie wird auch wirksam mit dem Zeitpunkt, in welchem das Ersuchen um Eintragung des Versteigerungsvermerks dem Grundbuchamt zugeht, sofern auf das Ersuchen die Eintragung demnächst erfolgt.</w:t>
      </w:r>
    </w:p>
    <w:p>
      <w:r>
        <w:t xml:space="preserve">(2) Erstreckt sich die Beschlagnahme auf eine Forderung, so hat das Gericht auf Antrag des Gläubigers dem Drittschuldner zu verbieten, an den Schuldner zu zahlen. Die Beschlagnahme wird dem Drittschuldner gegenüber erst mit dem Zeitpunkt wirksam, in welchem sie ihm bekannt oder das Zahlungsverbot ihm zugestellt wird. Die Vorschriften des § 845 der Zivilprozeßordnung finden entsprechende Anwendung.</w:t>
      </w:r>
    </w:p>
    <w:p>
      <w:r>
        <w:rPr>
          <w:color w:val="555555"/>
          <w:sz w:val="17"/>
        </w:rPr>
        <w:t xml:space="preserve">Zitiervorschlag: § 22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