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Beschlagnahme umfaßt land- und forstwirtschaftliche Erzeugnisse des Grundstücks sowie die Forderung aus einer Versicherung solcher Erzeugnisse nur, soweit die Erzeugnisse noch mit dem Boden verbunden oder soweit sie Zubehör des Grundstücks sind.</w:t>
      </w:r>
    </w:p>
    <w:p>
      <w:r>
        <w:t xml:space="preserve">(2) Die Beschlagnahme umfaßt nicht die Miet- und Pachtforderungen sowie die Ansprüche aus einem mit dem Eigentum an dem Grundstück verbundenen Recht auf wiederkehrende Leistungen.</w:t>
      </w:r>
    </w:p>
    <w:p>
      <w:r>
        <w:t xml:space="preserve">(3) Das Recht eines Pächters auf den Fruchtgenuß wird von der Beschlagnahme nicht berührt.</w:t>
      </w:r>
    </w:p>
    <w:p>
      <w:r>
        <w:rPr>
          <w:color w:val="555555"/>
          <w:sz w:val="17"/>
        </w:rPr>
        <w:t xml:space="preserve">Zitiervorschlag: § 21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