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Beschluß, durch welchen die Zwangsversteigerung angeordnet wird, gilt zugunsten des Gläubigers als Beschlagnahme des Grundstücks.</w:t>
      </w:r>
    </w:p>
    <w:p>
      <w:r>
        <w:t xml:space="preserve">(2) Die Beschlagnahme umfaßt auch diejenigen Gegenstände, auf welche sich bei einem Grundstück die Hypothek erstreckt.</w:t>
      </w:r>
    </w:p>
    <w:p>
      <w:r>
        <w:rPr>
          <w:color w:val="555555"/>
          <w:sz w:val="17"/>
        </w:rPr>
        <w:t xml:space="preserve">Zitiervorschlag: § 20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