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das Grundstück in den Bezirken verschiedener Amtsgerichte belegen oder ist es mit Rücksicht auf die Grenzen der Bezirke ungewiß, welches Gericht zuständig ist, so hat das zunächst höhere Gericht eines der Amtsgerichte zum Vollstreckungsgericht zu bestellen; § 36 Abs. 2 und 3 und § 37 der Zivilprozeßordnung finden entsprechende Anwendung.</w:t>
      </w:r>
    </w:p>
    <w:p>
      <w:r>
        <w:t xml:space="preserve">(2) Die gleiche Anordnung kann getroffen werden, wenn die Zwangsversteigerung oder die Zwangsverwaltung mehrerer Grundstücke in demselben Verfahren zulässig ist und die Grundstücke in den Bezirken verschiedener Amtsgerichte belegen sind. Von der Anordnung soll das zum Vollstreckungsgericht bestellte Gericht die übrigen Gerichte in Kenntnis setzen.</w:t>
      </w:r>
    </w:p>
    <w:p>
      <w:r>
        <w:rPr>
          <w:color w:val="555555"/>
          <w:sz w:val="17"/>
        </w:rPr>
        <w:t xml:space="preserve">Zitiervorschlag: § 2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