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Bei der Feststellung des geringsten Gebots sind die den Anteil des Antragstellers belastenden oder mitbelastenden Rechte an dem Grundstück sowie alle Rechte zu berücksichtigen, die einem dieser Rechte vorgehen oder gleichstehen.</w:t>
      </w:r>
    </w:p>
    <w:p>
      <w:r>
        <w:t xml:space="preserve">(2) Ist hiernach bei einem Anteil ein größerer Betrag zu berücksichtigen als bei einem anderen Anteil, so erhöht sich das geringste Gebot um den zur Ausgleichung unter den Miteigentümern erforderlichen Betrag.</w:t>
      </w:r>
    </w:p>
    <w:p>
      <w:r>
        <w:t xml:space="preserve">(3) (weggefallen)</w:t>
      </w:r>
    </w:p>
    <w:p>
      <w:r>
        <w:rPr>
          <w:color w:val="555555"/>
          <w:sz w:val="17"/>
        </w:rPr>
        <w:t xml:space="preserve">Zitiervorschlag: § 182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