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178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Zwangsversteigerung soll nicht angeordnet werden, wenn die Eröffnung des Nachlaßinsolvenzverfahrens beantragt ist.</w:t>
      </w:r>
    </w:p>
    <w:p>
      <w:r>
        <w:t xml:space="preserve">(2) Durch die Eröffnung des Nachlaßinsolvenzverfahrens wird die Zwangsversteigerung nicht beendigt; für das weitere Verfahren gilt der Insolvenzverwalter als Antragsteller.</w:t>
      </w:r>
    </w:p>
    <w:p>
      <w:r>
        <w:rPr>
          <w:color w:val="555555"/>
          <w:sz w:val="17"/>
        </w:rPr>
        <w:t xml:space="preserve">Zitiervorschlag: § 178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