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171i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dritten Klasse (§ 10 Abs. 1 Nr. 3) werden nur befriedigt Gebühren, Zölle, Bußen und Geldstrafen auf Grund von Vorschriften über Luftfahrt, Zölle und Einwanderung.</w:t>
      </w:r>
    </w:p>
    <w:p>
      <w:r>
        <w:t xml:space="preserve">(2) In der vierten Klasse (§ 10 Abs. 1 Nr. 4) genießen Ansprüche auf Zinsen aus Rechten nach § 103 des Gesetzes über Rechte an Luftfahrzeugen vom 26. Februar 1959 (Bundesgesetzbl. I S. 57) das Vorrecht dieser Klasse wegen der laufenden und der aus den letzten drei Geschäftsjahren rückständigen Beträge.</w:t>
      </w:r>
    </w:p>
    <w:p>
      <w:r>
        <w:rPr>
          <w:color w:val="555555"/>
          <w:sz w:val="17"/>
        </w:rPr>
        <w:t xml:space="preserve">Zitiervorschlag: § 171i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https://recht.nulegal.eu/gesetze/ZVG/171i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