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171g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 die Stelle der nach § 94 Abs. 1 zulässigen Verwaltung tritt die gerichtliche Bewachung und Verwahrung des versteigerten Luftfahrzeugs.</w:t>
      </w:r>
    </w:p>
    <w:p>
      <w:r>
        <w:t xml:space="preserve">(2) Das Gericht hat die getroffenen Maßregeln aufzuheben, wenn der zu ihrer Fortsetzung erforderliche Geldbetrag nicht vorgeschossen wird.</w:t>
      </w:r>
    </w:p>
    <w:p>
      <w:r>
        <w:t xml:space="preserve">(3) § 94a ist nicht anzuwenden.</w:t>
      </w:r>
    </w:p>
    <w:p>
      <w:r>
        <w:rPr>
          <w:color w:val="555555"/>
          <w:sz w:val="17"/>
        </w:rPr>
        <w:t xml:space="preserve">Zitiervorschlag: § 171g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https://recht.nulegal.eu/gesetze/ZVG/171g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