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171d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Bestimmung des Versteigerungstermins soll das Luftfahrzeug nach dem Register für Pfandrechte an Luftfahrzeugen bezeichnet werden.</w:t>
      </w:r>
    </w:p>
    <w:p>
      <w:r>
        <w:t xml:space="preserve">(2) Die in § 39 Abs. 2 vorgesehene Anordnung ist unzulässig.</w:t>
      </w:r>
    </w:p>
    <w:p>
      <w:r>
        <w:rPr>
          <w:color w:val="555555"/>
          <w:sz w:val="17"/>
        </w:rPr>
        <w:t xml:space="preserve">Zitiervorschlag: § 171d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https://recht.nulegal.eu/gesetze/ZVG/171d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