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171c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Zwangsversteigerung darf erst angeordnet werden, nachdem das Luftfahrzeug in das Register für Pfandrechte an Luftfahrzeugen eingetragen ist. Der Antrag auf Anordnung der Zwangsversteigerung kann jedoch schon vor der Eintragung gestellt werden.</w:t>
      </w:r>
    </w:p>
    <w:p>
      <w:r>
        <w:t xml:space="preserve">(2) Bei der Anordnung der Zwangsversteigerung hat das Gericht zugleich die Bewachung und Verwahrung des Luftfahrzeugs anzuordnen. Die Beschlagnahme wird auch mit der Vollziehung dieser Anordnung wirksam.</w:t>
      </w:r>
    </w:p>
    <w:p>
      <w:r>
        <w:t xml:space="preserve">(3) Das Gericht kann zugleich mit der einstweiligen Einstellung des Verfahrens im Einverständnis mit dem betreibenden Gläubiger anordnen, daß die Bewachung und Verwahrung einem Treuhänder übertragen wird, den das Gericht auswählt. Der Treuhänder untersteht der Aufsicht des Gerichts und ist an die ihm erteilten Weisungen des Gerichts gebunden. Das Gericht kann ihn im Einverständnis mit dem Gläubiger auch ermächtigen, das Luftfahrzeug für Rechnung und im Namen des Schuldners zu nutzen. Über die Verwendung des Reinertrages entscheidet das Gericht. In der Regel soll er nach den Grundsätzen des § 155 verteilt werden.</w:t>
      </w:r>
    </w:p>
    <w:p>
      <w:r>
        <w:rPr>
          <w:color w:val="555555"/>
          <w:sz w:val="17"/>
        </w:rPr>
        <w:t xml:space="preserve">Zitiervorschlag: § 171c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