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171b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Zwangsversteigerung des Luftfahrzeugs ist als Vollstreckungsgericht das Amtsgericht zuständig, in dessen Bezirk das Luftfahrt-Bundesamt seinen Sitz hat.</w:t>
      </w:r>
    </w:p>
    <w:p>
      <w:r>
        <w:t xml:space="preserve">(2) Für das Verfahren tritt an die Stelle des Grundbuchs das Register für Pfandrechte an Luftfahrzeugen.</w:t>
      </w:r>
    </w:p>
    <w:p>
      <w:r>
        <w:rPr>
          <w:color w:val="555555"/>
          <w:sz w:val="17"/>
        </w:rPr>
        <w:t xml:space="preserve">Zitiervorschlag: § 171b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