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Zwangsversteigerung darf nur angeordnet werden, wenn der Schuldner als Eigentümer des Grundstücks eingetragen oder wenn er Erbe des eingetragenen Eigentümers ist.</w:t>
      </w:r>
    </w:p>
    <w:p>
      <w:r>
        <w:t xml:space="preserve">(2) Die Eintragung ist durch ein Zeugnis des Grundbuchamts nachzuweisen. Gehören Vollstreckungsgericht und Grundbuchamt demselben Amtsgericht an, so genügt statt des Zeugnisses die Bezugnahme auf das Grundbuch.</w:t>
      </w:r>
    </w:p>
    <w:p>
      <w:r>
        <w:t xml:space="preserve">(3) Die Erbfolge ist durch Urkunden glaubhaft zu machen, sofern sie nicht bei dem Gericht offenkundig ist.</w:t>
      </w:r>
    </w:p>
    <w:p>
      <w:r>
        <w:rPr>
          <w:color w:val="555555"/>
          <w:sz w:val="17"/>
        </w:rPr>
        <w:t xml:space="preserve">Zitiervorschlag: § 17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