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169a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Zwangsversteigerung eines Seeschiffes sind die Vorschriften der §§ 74a, 74b und 85a nicht anzuwenden; § 38 Satz 1 findet hinsichtlich der Angabe des Verkehrswerts keine Anwendung.</w:t>
      </w:r>
    </w:p>
    <w:p>
      <w:r>
        <w:t xml:space="preserve">(2) § 68 findet mit der Maßgabe Anwendung, daß Sicherheit für ein Zehntel des Bargebots zu leisten ist.</w:t>
      </w:r>
    </w:p>
    <w:p>
      <w:r>
        <w:rPr>
          <w:color w:val="555555"/>
          <w:sz w:val="17"/>
        </w:rPr>
        <w:t xml:space="preserve">Zitiervorschlag: § 169a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https://recht.nulegal.eu/gesetze/ZVG/169a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