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Bezeichnung des Schiffs in der Bestimmung des Versteigerungstermins soll nach dem Schiffsregister erfolgen.</w:t>
      </w:r>
    </w:p>
    <w:p>
      <w:r>
        <w:t xml:space="preserve">(2) Die im § 37 Nr. 4 bestimmte Aufforderung muß ausdrücklich auch auf die Rechte der Schiffsgläubiger hinweisen.</w:t>
      </w:r>
    </w:p>
    <w:p>
      <w:r>
        <w:rPr>
          <w:color w:val="555555"/>
          <w:sz w:val="17"/>
        </w:rPr>
        <w:t xml:space="preserve">Zitiervorschlag: § 167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