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gegen den Schiffer auf Grund eines vollstreckbaren Titels, der auch gegenüber dem Eigentümer wirksam ist, das Verfahren angeordnet, so wirkt die Beschlagnahme zugleich gegen den Eigentümer.</w:t>
      </w:r>
    </w:p>
    <w:p>
      <w:r>
        <w:t xml:space="preserve">(2) Der Schiffer gilt in diesem Fall als Beteiligter nur so lange, als er das Schiff führt; ein neuer Schiffer gilt als Beteiligter, wenn er sich bei dem Gericht meldet und seine Angabe auf Verlangen des Gerichts oder eines Beteiligten glaubhaft macht.</w:t>
      </w:r>
    </w:p>
    <w:p>
      <w:r>
        <w:rPr>
          <w:color w:val="555555"/>
          <w:sz w:val="17"/>
        </w:rPr>
        <w:t xml:space="preserve">Zitiervorschlag: § 166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