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163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Zwangsversteigerung eines eingetragenen Schiffs ist als Vollstreckungsgericht das Amtsgericht zuständig, in dessen Bezirk sich das Schiff befindet; § 1 Abs. 2 gilt entsprechend.</w:t>
      </w:r>
    </w:p>
    <w:p>
      <w:r>
        <w:t xml:space="preserve">(2) Für das Verfahren tritt an die Stelle des Grundbuchs das Schiffsregister.</w:t>
      </w:r>
    </w:p>
    <w:p>
      <w:r>
        <w:t xml:space="preserve">(3) Die Träger der Sozialversicherung einschließlich der Arbeitslosenversicherung gelten als Beteiligte, auch wenn sie eine Forderung nicht angemeldet haben. Bei der Zwangsversteigerung eines Seeschiffes vertritt die Deutsche Rentenversicherung Knappschaft-Bahn-See, bei der Zwangsversteigerung eines Binnenschiffes die Berufsgenossenschaft Verkehrswirtschaft Post-Logistik Telekommunikation die übrigen Versicherungsträger gegenüber dem Vollstreckungsgericht.</w:t>
      </w:r>
    </w:p>
    <w:p>
      <w:r>
        <w:rPr>
          <w:color w:val="555555"/>
          <w:sz w:val="17"/>
        </w:rPr>
        <w:t xml:space="preserve">Zitiervorschlag: § 163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