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Aufhebung des Verfahrens erfolgt durch Beschluß des Gerichts.</w:t>
      </w:r>
    </w:p>
    <w:p>
      <w:r>
        <w:t xml:space="preserve">(2) Das Verfahren ist aufzuheben, wenn der Gläubiger befriedigt ist.</w:t>
      </w:r>
    </w:p>
    <w:p>
      <w:r>
        <w:t xml:space="preserve">(3) Das Gericht kann die Aufhebung anordnen, wenn die Fortsetzung des Verfahrens besondere Aufwendungen erfordert und der Gläubiger den nötigen Geldbetrag nicht vorschießt.</w:t>
      </w:r>
    </w:p>
    <w:p>
      <w:r>
        <w:t xml:space="preserve">(4) Im übrigen finden auf die Aufhebung des Verfahrens die Vorschriften der §§ 28, 29, 32, 34 entsprechende Anwendung.</w:t>
      </w:r>
    </w:p>
    <w:p>
      <w:r>
        <w:rPr>
          <w:color w:val="555555"/>
          <w:sz w:val="17"/>
        </w:rPr>
        <w:t xml:space="preserve">Zitiervorschlag: § 161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