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soll das Grundstück, den Eigentümer, den Anspruch und den vollstreckbaren Titel bezeichnen.</w:t>
      </w:r>
    </w:p>
    <w:p>
      <w:r>
        <w:t xml:space="preserve">(2) Die für den Beginn der Zwangsvollstreckung erforderlichen Urkunden sind dem Antrag beizufügen.</w:t>
      </w:r>
    </w:p>
    <w:p>
      <w:r>
        <w:rPr>
          <w:color w:val="555555"/>
          <w:sz w:val="17"/>
        </w:rPr>
        <w:t xml:space="preserve">Zitiervorschlag: § 16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