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Beteiligte kann eine Änderung des Teilungsplans im Wege der Klage erwirken, auch wenn er Widerspruch gegen den Plan nicht erhoben hat.</w:t>
      </w:r>
    </w:p>
    <w:p>
      <w:r>
        <w:t xml:space="preserve">(2) Eine planmäßig geleistete Zahlung kann auf Grund einer späteren Änderung des Planes nicht zurückgefordert werden.</w:t>
      </w:r>
    </w:p>
    <w:p>
      <w:r>
        <w:rPr>
          <w:color w:val="555555"/>
          <w:sz w:val="17"/>
        </w:rPr>
        <w:t xml:space="preserve">Zitiervorschlag: § 159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