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der Feststellung des Teilungsplans hat das Gericht die planmäßige Zahlung der Beträge an die Berechtigten anzuordnen; die Anordnung ist zu ergänzen, wenn nachträglich der Beitritt eines Gläubigers zugelassen wird. Die Auszahlungen erfolgen zur Zeit ihrer Fälligkeit durch den Verwalter, soweit die Bestände hinreichen.</w:t>
      </w:r>
    </w:p>
    <w:p>
      <w:r>
        <w:t xml:space="preserve">(2) Im Falle der Hinterlegung eines zugeteilten Betrags für den unbekannten Berechtigten ist nach den Vorschriften der §§ 135 bis 141 zu verfahren. Die Vorschriften des § 142 finden Anwendung.</w:t>
      </w:r>
    </w:p>
    <w:p>
      <w:r>
        <w:rPr>
          <w:color w:val="555555"/>
          <w:sz w:val="17"/>
        </w:rPr>
        <w:t xml:space="preserve">Zitiervorschlag: § 157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