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153c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des betreibenden Gläubigers hebt das Gericht die Anordnung der einstweiligen Einstellung auf, wenn die Voraussetzungen für die Einstellung fortgefallen sind, wenn die Auflagen nach § 153b Abs.2 nicht beachtet werden oder wenn der Insolvenzverwalter der Aufhebung zustimmt.</w:t>
      </w:r>
    </w:p>
    <w:p>
      <w:r>
        <w:t xml:space="preserve">(2) Vor der Entscheidung des Gerichts ist der Insolvenzverwalter zu hören. Wenn keine Aufhebung erfolgt, enden die Wirkungen der Anordnung mit der Beendigung des Insolvenzverfahrens.</w:t>
      </w:r>
    </w:p>
    <w:p>
      <w:r>
        <w:rPr>
          <w:color w:val="555555"/>
          <w:sz w:val="17"/>
        </w:rPr>
        <w:t xml:space="preserve">Zitiervorschlag: § 153c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