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153b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Ist über das Vermögen des Schuldners das Insolvenzverfahren eröffnet, so ist auf Antrag des Insolvenzverwalters die vollständige oder teilweise Einstellung der Zwangsverwaltung anzuordnen, wenn der Insolvenzverwalter glaubhaft macht, daß durch die Fortsetzung der Zwangsverwaltung eine wirtschaftlich sinnvolle Nutzung der Insolvenzmasse wesentlich erschwert wird.</w:t>
      </w:r>
    </w:p>
    <w:p>
      <w:r>
        <w:t xml:space="preserve">(2) Die Einstellung ist mit der Auflage anzuordnen, daß die Nachteile, die dem betreibenden Gläubiger aus der Einstellung erwachsen, durch laufende Zahlungen aus der Insolvenzmasse ausgeglichen werden.</w:t>
      </w:r>
    </w:p>
    <w:p>
      <w:r>
        <w:t xml:space="preserve">(3) Vor der Entscheidung des Gerichts sind der Zwangsverwalter und der betreibende Gläubiger zu hören.</w:t>
      </w:r>
    </w:p>
    <w:p>
      <w:r>
        <w:rPr>
          <w:color w:val="555555"/>
          <w:sz w:val="17"/>
        </w:rPr>
        <w:t xml:space="preserve">Zitiervorschlag: § 153b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https://recht.nulegal.eu/gesetze/ZVG/153b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