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Das Gericht hat den Verwalter nach Anhörung des Gläubigers und des Schuldners mit der erforderlichen Anweisung für die Verwaltung zu versehen, die dem Verwalter zu gewährende Vergütung festzusetzen und die Geschäftsführung zu beaufsichtigen; in geeigneten Fällen ist ein Sachverständiger zuzuziehen.</w:t>
      </w:r>
    </w:p>
    <w:p>
      <w:r>
        <w:t xml:space="preserve">(2) Das Gericht kann dem Verwalter die Leistung einer Sicherheit auferlegen, gegen ihn Zwangsgeld festsetzen und ihn entlassen. Das Zwangsgeld ist vorher anzudrohen.</w:t>
      </w:r>
    </w:p>
    <w:p>
      <w:r>
        <w:rPr>
          <w:color w:val="555555"/>
          <w:sz w:val="17"/>
        </w:rPr>
        <w:t xml:space="preserve">Zitiervorschlag: § 153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