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Verwalter hat das Recht und die Pflicht, alle Handlungen vorzunehmen, die erforderlich sind, um das Grundstück in seinem wirtschaftlichen Bestand zu erhalten und ordnungsmäßig zu benutzen; er hat die Ansprüche, auf welche sich die Beschlagnahme erstreckt, geltend zu machen und die für die Verwaltung entbehrlichen Nutzungen in Geld umzusetzen.</w:t>
      </w:r>
    </w:p>
    <w:p>
      <w:r>
        <w:t xml:space="preserve">(2) Ist das Grundstück vor der Beschlagnahme einem Mieter oder Pächter überlassen, so ist der Miet- oder Pachtvertrag auch dem Verwalter gegenüber wirksam.</w:t>
      </w:r>
    </w:p>
    <w:p>
      <w:r>
        <w:rPr>
          <w:color w:val="555555"/>
          <w:sz w:val="17"/>
        </w:rPr>
        <w:t xml:space="preserve">Zitiervorschlag: § 152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