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Beschlagnahme wird auch dadurch wirksam, daß der Verwalter nach § 150 den Besitz des Grundstücks erlangt.</w:t>
      </w:r>
    </w:p>
    <w:p>
      <w:r>
        <w:t xml:space="preserve">(2) Der Beschluß, durch welchen der Beitritt eines Gläubigers zugelassen wird, soll dem Verwalter zugestellt werden; die Beschlagnahme wird zugunsten des Gläubigers auch mit dieser Zustellung wirksam, wenn der Verwalter sich bereits im Besitz des Grundstücks befindet.</w:t>
      </w:r>
    </w:p>
    <w:p>
      <w:r>
        <w:t xml:space="preserve">(3) Das Zahlungsverbot an den Drittschuldner ist auch auf Antrag des Verwalters zu erlassen.</w:t>
      </w:r>
    </w:p>
    <w:p>
      <w:r>
        <w:rPr>
          <w:color w:val="555555"/>
          <w:sz w:val="17"/>
        </w:rPr>
        <w:t xml:space="preserve">Zitiervorschlag: § 151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