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Gehört bei der Zwangsverwaltung eines Grundstücks zu den Beteiligten eine öffentliche Körperschaft, ein unter staatlicher Aufsicht stehendes Institut, eine Hypothekenbank oder ein Siedlungsunternehmen im Sinne des Reichssiedlungsgesetzes, so kann dieser Beteiligte innerhalb einer ihm vom Vollstreckungsgericht zu bestimmenden Frist eine in seinen Diensten stehende Person als Verwalter vorschlagen.</w:t>
      </w:r>
    </w:p>
    <w:p>
      <w:r>
        <w:t xml:space="preserve">(2) Das Gericht hat den Vorgeschlagenen zum Verwalter zu bestellen, wenn der Beteiligte die dem Verwalter nach § 154 Satz 1 obliegende Haftung übernimmt und gegen den Vorgeschlagenen mit Rücksicht auf seine Person oder die Art der Verwaltung Bedenken nicht bestehen. Der vorgeschlagene Verwalter erhält für seine Tätigkeit keine Vergütung.</w:t>
      </w:r>
    </w:p>
    <w:p>
      <w:r>
        <w:rPr>
          <w:color w:val="555555"/>
          <w:sz w:val="17"/>
        </w:rPr>
        <w:t xml:space="preserve">Zitiervorschlag: § 150a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