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Wohnt der Schuldner zur Zeit der Beschlagnahme auf dem Grundstück, so sind ihm die für seinen Hausstand unentbehrlichen Räume zu belassen.</w:t>
      </w:r>
    </w:p>
    <w:p>
      <w:r>
        <w:t xml:space="preserve">(2) Gefährdet der Schuldner oder ein Mitglied seines Hausstandes das Grundstück oder die Verwaltung, so hat auf Antrag das Gericht dem Schuldner die Räumung des Grundstücks aufzugeben.</w:t>
      </w:r>
    </w:p>
    <w:p>
      <w:r>
        <w:t xml:space="preserve">(3) Bei der Zwangsverwaltung eines landwirtschaftlichen, forstwirtschaftlichen oder gärtnerischen Grundstücks hat der Zwangsverwalter aus den Erträgnissen des Grundstücks oder aus deren Erlös dem Schuldner die Mittel zur Verfügung zu stellen, die zur Befriedigung seiner und seiner Familie notwendigen Bedürfnisse erforderlich sind. Im Streitfall entscheidet das Vollstreckungsgericht nach Anhörung des Gläubigers, des Schuldners und des Zwangsverwalters. Der Beschluß unterliegt der sofortigen Beschwerde.</w:t>
      </w:r>
    </w:p>
    <w:p>
      <w:r>
        <w:rPr>
          <w:color w:val="555555"/>
          <w:sz w:val="17"/>
        </w:rPr>
        <w:t xml:space="preserve">Zitiervorschlag: § 149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