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148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Beschlagnahme des Grundstücks umfaßt auch die im § 21 Abs. 1, 2 bezeichneten Gegenstände. Die Vorschrift des § 23 Abs. 1 Satz 2 findet keine Anwendung.</w:t>
      </w:r>
    </w:p>
    <w:p>
      <w:r>
        <w:t xml:space="preserve">(2) Durch die Beschlagnahme wird dem Schuldner die Verwaltung und Benutzung des Grundstücks entzogen.</w:t>
      </w:r>
    </w:p>
    <w:p>
      <w:r>
        <w:rPr>
          <w:color w:val="555555"/>
          <w:sz w:val="17"/>
        </w:rPr>
        <w:t xml:space="preserve">Zitiervorschlag: § 148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