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Wegen des Anspruchs aus einem eingetragenen Rechte findet die Zwangsverwaltung auch dann statt, wenn die Voraussetzungen des § 17 Abs. 1 nicht vorliegen, der Schuldner aber das Grundstück im Eigenbesitze hat.</w:t>
      </w:r>
    </w:p>
    <w:p>
      <w:r>
        <w:t xml:space="preserve">(2) Der Besitz ist durch Urkunden glaubhaft zu machen, sofern er nicht bei dem Gericht offenkundig ist.</w:t>
      </w:r>
    </w:p>
    <w:p>
      <w:r>
        <w:rPr>
          <w:color w:val="555555"/>
          <w:sz w:val="17"/>
        </w:rPr>
        <w:t xml:space="preserve">Zitiervorschlag: § 147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