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146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Anordnung der Zwangsverwaltung finden die Vorschriften über die Anordnung der Zwangsversteigerung entsprechende Anwendung, soweit sich nicht aus den §§ 147 bis 151 ein anderes ergibt.</w:t>
      </w:r>
    </w:p>
    <w:p>
      <w:r>
        <w:t xml:space="preserve">(2) Von der Anordnung sind nach dem Eingang der im § 19 Abs. 2 bezeichneten Mitteilungen des Grundbuchamts die Beteiligten zu benachrichtigen.</w:t>
      </w:r>
    </w:p>
    <w:p>
      <w:r>
        <w:rPr>
          <w:color w:val="555555"/>
          <w:sz w:val="17"/>
        </w:rPr>
        <w:t xml:space="preserve">Zitiervorschlag: § 146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