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144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Weist der Ersteher oder im Falle des § 69 Abs. 3 der für mithaftend erklärte Bürge dem Gericht durch öffentliche oder öffentlich beglaubigte Urkunden nach, daß er diejenigen Berechtigten, deren Ansprüche durch das Gebot gedeckt sind, befriedigt hat oder daß er von ihnen als alleiniger Schuldner angenommen ist, so sind auf Anordnung des Gerichts die Urkunden nebst der Erklärung des Erstehers oder des Bürgen zur Einsicht der Beteiligten auf der Geschäftsstelle niederzulegen. Die Beteiligten sind von der Niederlegung zu benachrichtigen und aufzufordern, Erinnerungen binnen zwei Wochen geltend zu machen.</w:t>
      </w:r>
    </w:p>
    <w:p>
      <w:r>
        <w:t xml:space="preserve">(2) Werden Erinnerungen nicht innerhalb der zweiwöchigen Frist erhoben, so beschränkt sich das Verteilungsverfahren auf die Verteilung des Erlöses aus denjenigen Gegenständen, welche im Falle des § 65 besonders versteigert oder anderweit verwertet worden sind.</w:t>
      </w:r>
    </w:p>
    <w:p>
      <w:r>
        <w:rPr>
          <w:color w:val="555555"/>
          <w:sz w:val="17"/>
        </w:rPr>
        <w:t xml:space="preserve">Zitiervorschlag: § 144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