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der Berechtigte nachträglich ermittelt, so ist der Teilungsplan weiter auszuführen.</w:t>
      </w:r>
    </w:p>
    <w:p>
      <w:r>
        <w:t xml:space="preserve">(2) Liegt ein Widerspruch gegen den Anspruch vor, so ist derjenige, welcher den Widerspruch erhoben hat, von der Ermittlung des Berechtigten zu benachrichtigen. Die im § 878 der Zivilprozeßordnung bestimmte Frist zur Erhebung der Klage beginnt mit der Zustellung der Benachrichtigung.</w:t>
      </w:r>
    </w:p>
    <w:p>
      <w:r>
        <w:rPr>
          <w:color w:val="555555"/>
          <w:sz w:val="17"/>
        </w:rPr>
        <w:t xml:space="preserve">Zitiervorschlag: § 137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