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133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Zwangsvollstreckung in das Grundstück ist gegen den Ersteher ohne Zustellung des vollstreckbaren Titels oder der nach § 132 erteilten Vollstreckungsklausel zulässig; sie kann erfolgen, auch wenn der Ersteher noch nicht als Eigentümer eingetragen ist. Der Vorlegung des im § 17 Abs. 2 bezeichneten Zeugnisses bedarf es nicht, solange das Grundbuchamt noch nicht um die Eintragung ersucht ist.</w:t>
      </w:r>
    </w:p>
    <w:p>
      <w:r>
        <w:rPr>
          <w:color w:val="555555"/>
          <w:sz w:val="17"/>
        </w:rPr>
        <w:t xml:space="preserve">Zitiervorschlag: § 133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