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Nach Ausführung des Teilungsplans ist die Forderung gegen den Ersteher, im Falle des § 69 Abs. 3 auch gegen den für mithaftend erklärten Bürgen und im Falle des § 81 Abs. 4 auch gegen den für mithaftend erklärten Meistbietenden, der Anspruch aus der Sicherungshypothek gegen den Ersteher und jeden späteren Eigentümer vollstreckbar. Diese Vorschrift findet keine Anwendung, soweit der Ersteher einen weiteren Betrag nach den §§ 50, 51 zu zahlen hat.</w:t>
      </w:r>
    </w:p>
    <w:p>
      <w:r>
        <w:t xml:space="preserve">(2) Die Zwangsvollstreckung erfolgt auf Grund einer vollstreckbaren Ausfertigung des Beschlusses, durch welchen der Zuschlag erteilt ist. In der Vollstreckungsklausel ist der Berechtigte sowie der Betrag der Forderung anzugeben; der Zustellung einer Urkunde über die Übertragung der Forderung bedarf es nicht.</w:t>
      </w:r>
    </w:p>
    <w:p>
      <w:r>
        <w:rPr>
          <w:color w:val="555555"/>
          <w:sz w:val="17"/>
        </w:rPr>
        <w:t xml:space="preserve">Zitiervorschlag: § 132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