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für den Gläubiger eines erloschenen Rechts gegenüber einer bestehenbleibenden Hypothek, Grundschuld oder Rentenschuld nach § 1179a des Bürgerlichen Gesetzbuchs die Wirkungen einer Vormerkung bestanden, fallen diese Wirkungen mit der Ausführung des Ersuchens nach § 130 weg.</w:t>
      </w:r>
    </w:p>
    <w:p>
      <w:r>
        <w:t xml:space="preserve">(2) Ist bei einem solchen Recht der Löschungsanspruch nach § 1179a des Bürgerlichen Gesetzbuchs gegenüber einem bestehenbleibenden Recht nicht nach § 91 Abs. 4 Satz 2 erloschen, so ist das Ersuchen nach § 130 auf einen spätestens im Verteilungstermin zu stellenden Antrag des Anspruchsberechtigten jedoch auch darauf zu richten, daß für ihn bei dem bestehenbleibenden Recht eine Vormerkung zur Sicherung des sich aus der erloschenen Hypothek, Grundschuld oder Rentenschuld ergebenden Anspruchs auf Löschung einzutragen ist. Die Vormerkung sichert den Löschungsanspruch vom gleichen Zeitpunkt an, von dem ab die Wirkungen des § 1179a Abs. 1 Satz 3 des Bürgerlichen Gesetzbuchs bestanden. Wer durch die Eintragung der Vormerkung beeinträchtigt wird, kann von dem Berechtigten die Zustimmung zu deren Löschung verlangen, wenn diesem zur Zeit des Erlöschens seines Rechts ein Anspruch auf Löschung des bestehenbleibenden Rechts nicht zustand oder er auch bei Verwirklichung dieses Anspruchs eine weitere Befriedigung nicht erlangen würde; die Kosten der Löschung der Vormerkung und der dazu erforderlichen Erklärungen hat derjenige zu tragen, für den die Vormerkung eingetragen war.</w:t>
      </w:r>
    </w:p>
    <w:p>
      <w:r>
        <w:rPr>
          <w:color w:val="555555"/>
          <w:sz w:val="17"/>
        </w:rPr>
        <w:t xml:space="preserve">Zitiervorschlag: § 130a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