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der Teilungsplan ausgeführt und der Zuschlag rechtskräftig, so ist das Grundbuchamt zu ersuchen, den Ersteher als Eigentümer einzutragen, den Versteigerungsvermerk sowie die durch den Zuschlag erloschenen Rechte zu löschen und die Eintragung der Sicherungshypotheken für die Forderung gegen den Ersteher zu bewirken. Bei der Eintragung der Hypotheken soll im Grundbuch ersichtlich gemacht werden, daß sie auf Grund eines Zwangsversteigerungsverfahrens erfolgt ist.</w:t>
      </w:r>
    </w:p>
    <w:p>
      <w:r>
        <w:t xml:space="preserve">(2) Ergibt sich, daß ein bei der Feststellung des geringsten Gebots berücksichtigtes Recht nicht zur Entstehung gelangt oder daß es erloschen ist, so ist das Ersuchen auch auf die Löschung dieses Rechtes zu richten.</w:t>
      </w:r>
    </w:p>
    <w:p>
      <w:r>
        <w:t xml:space="preserve">(3) Hat der Ersteher, bevor er als Eigentümer eingetragen worden ist, die Eintragung eines Rechts an dem versteigerten Grundstück bewilligt, so darf die Eintragung nicht vor der Erledigung des im Absatz 1 bezeichneten Ersuchens erfolgen.</w:t>
      </w:r>
    </w:p>
    <w:p>
      <w:r>
        <w:rPr>
          <w:color w:val="555555"/>
          <w:sz w:val="17"/>
        </w:rPr>
        <w:t xml:space="preserve">Zitiervorschlag: § 130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