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Laufende Beträge wiederkehrender Leistungen sind der letzte vor der Beschlagnahme fällig gewordene Betrag sowie die später fällig werdenden Beträge. Die älteren Beträge sind Rückstände.</w:t>
      </w:r>
    </w:p>
    <w:p>
      <w:r>
        <w:t xml:space="preserve">(2) Absatz 1 ist anzuwenden, gleichviel ob die Ansprüche auf wiederkehrende Leistungen auf öffentlichem oder privatem Recht oder ob sie auf Bundes- oder Landesrecht beruhen oder ob die gesetzlichen Vorschriften andere als die in § 10 Abs. 1 Nr. 3 und 4 bestimmten Fristen festsetzen; kürzere Fristen als die in § 10 Abs. 1 Nr. 3 und 4 bestimmten werden stets vom letzten Fälligkeitstag vor der Beschlagnahme zurückgerechnet.</w:t>
      </w:r>
    </w:p>
    <w:p>
      <w:r>
        <w:t xml:space="preserve">(3) Fehlt es innerhalb der letzten zwei Jahre an einem Fälligkeitstermin, so entscheidet der Zeitpunkt der Beschlagnahme.</w:t>
      </w:r>
    </w:p>
    <w:p>
      <w:r>
        <w:t xml:space="preserve">(4) Liegen mehrere Beschlagnahmen vor, so ist die erste maßgebend. Bei der Zwangsversteigerung gilt, wenn bis zur Beschlagnahme eine Zwangsverwaltung fortgedauert hat, die für diese bewirkte Beschlagnahme als die erste.</w:t>
      </w:r>
    </w:p>
    <w:p>
      <w:r>
        <w:rPr>
          <w:color w:val="555555"/>
          <w:sz w:val="17"/>
        </w:rPr>
        <w:t xml:space="preserve">Zitiervorschlag: § 13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