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der Brief über eine infolge der Versteigerung erloschene Hypothek, Grundschuld oder Rentenschuld vorgelegt, so hat das Gericht ihn unbrauchbar zu machen. Ist das Recht nur zum Teil erloschen, so ist dies auf dem Brief zu vermerken. Wird der Brief nicht vorgelegt, so kann das Gericht ihn von dem Berechtigten einfordern.</w:t>
      </w:r>
    </w:p>
    <w:p>
      <w:r>
        <w:t xml:space="preserve">(2) Im Falle der Vorlegung eines vollstreckbaren Titels über einen Anspruch, auf welchen ein Betrag zugeteilt wird, hat das Gericht auf dem Titel zu vermerken, in welchem Umfang der Betrag durch Zahlung, Hinterlegung oder Übertragung gedeckt worden ist.</w:t>
      </w:r>
    </w:p>
    <w:p>
      <w:r>
        <w:t xml:space="preserve">(3) Der Wortlaut der Vermerke ist durch das Protokoll festzustellen.</w:t>
      </w:r>
    </w:p>
    <w:p>
      <w:r>
        <w:rPr>
          <w:color w:val="555555"/>
          <w:sz w:val="17"/>
        </w:rPr>
        <w:t xml:space="preserve">Zitiervorschlag: § 127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