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für einen zugeteilten Betrag die Person des Berechtigten unbekannt, insbesondere bei einer Hypothek, Grundschuld oder Rentenschuld der Brief nicht vorgelegt, so ist durch den Teilungsplan festzustellen, wie der Betrag verteilt werden soll, wenn der Berechtigte nicht ermittelt wird.</w:t>
      </w:r>
    </w:p>
    <w:p>
      <w:r>
        <w:t xml:space="preserve">(2) Der Betrag ist für den unbekannten Berechtigten zu hinterlegen. Soweit der Betrag nicht gezahlt wird, ist die Forderung gegen den Ersteher auf den Berechtigten zu übertragen.</w:t>
      </w:r>
    </w:p>
    <w:p>
      <w:r>
        <w:rPr>
          <w:color w:val="555555"/>
          <w:sz w:val="17"/>
        </w:rPr>
        <w:t xml:space="preserve">Zitiervorschlag: § 126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