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eines Widerspruchs gegen den Teilungsplan ist durch den Plan festzustellen, wie der streitige Betrag verteilt werden soll, wenn der Widerspruch für begründet erklärt wird.</w:t>
      </w:r>
    </w:p>
    <w:p>
      <w:r>
        <w:t xml:space="preserve">(2) Die Vorschriften des § 120 finden entsprechende Anwendung; die Art der Anlegung bestimmt derjenige, welcher den Anspruch geltend macht.</w:t>
      </w:r>
    </w:p>
    <w:p>
      <w:r>
        <w:t xml:space="preserve">(3) Das gleiche gilt, soweit nach § 115 Abs. 4 die Ausführung des Planes unterbleibt.</w:t>
      </w:r>
    </w:p>
    <w:p>
      <w:r>
        <w:rPr>
          <w:color w:val="555555"/>
          <w:sz w:val="17"/>
        </w:rPr>
        <w:t xml:space="preserve">Zitiervorschlag: § 124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