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Sind mehrere für den Anspruch eines Beteiligten haftende Grundstücke in demselben Verfahren versteigert worden, so ist, unbeschadet der Vorschrift des § 1132 Abs. 1 Satz 2 des Bürgerlichen Gesetzbuchs, bei jedem einzelnen Grundstück nur ein nach dem Verhältnis der Erlöse zu bestimmender Betrag in den Teilungsplan aufzunehmen. Der Erlös wird unter Abzug des Betrags der Ansprüche berechnet, welche dem Anspruch des Beteiligten vorgehen.</w:t>
      </w:r>
    </w:p>
    <w:p>
      <w:r>
        <w:t xml:space="preserve">(2) Unterbleibt die Zahlung eines auf den Anspruch des Beteiligten zugeteilten Betrags, so ist der Anspruch bei jedem Grundstück in Höhe dieses Betrags in den Plan aufzunehmen.</w:t>
      </w:r>
    </w:p>
    <w:p>
      <w:r>
        <w:rPr>
          <w:color w:val="555555"/>
          <w:sz w:val="17"/>
        </w:rPr>
        <w:t xml:space="preserve">Zitiervorschlag: § 122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