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Fällen des § 92 Abs. 2 ist für den Ersatzanspruch in den Teilungsplan ein Betrag aufzunehmen, welcher der Summe aller künftigen Leistungen gleichkommt, den fünfundzwanzigfachen Betrag einer Jahresleistung jedoch nicht übersteigt; zugleich ist zu bestimmen, daß aus den Zinsen und dem Betrag selbst die einzelnen Leistungen zur Zeit der Fälligkeit zu entnehmen sind.</w:t>
      </w:r>
    </w:p>
    <w:p>
      <w:r>
        <w:t xml:space="preserve">(2) Die Vorschriften der §§ 119, 120 finden entsprechende Anwendung; die Art der Anlegung des Geldes bestimmt der zunächst Berechtigte.</w:t>
      </w:r>
    </w:p>
    <w:p>
      <w:r>
        <w:rPr>
          <w:color w:val="555555"/>
          <w:sz w:val="17"/>
        </w:rPr>
        <w:t xml:space="preserve">Zitiervorschlag: § 121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