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der Anspruch aufschiebend bedingt, so ist der Betrag für die Berechtigten zu hinterlegen. Soweit der Betrag nicht gezahlt ist, wird die Forderung gegen den Ersteher auf die Berechtigten übertragen. Die Hinterlegung sowie die Übertragung erfolgt für jeden unter der entsprechenden Bedingung.</w:t>
      </w:r>
    </w:p>
    <w:p>
      <w:r>
        <w:t xml:space="preserve">(2) Während der Schwebezeit gelten für die Anlegung des hinterlegten Geldes, für die Kündigung und Einziehung der übertragenen Forderung sowie für die Anlegung des eingezogenen Geldes die Vorschriften der §§ 1077 bis 1079 des Bürgerlichen Gesetzbuchs; die Art der Anlegung bestimmt derjenige, welchem der Betrag gebührt, wenn die Bedingung ausfällt.</w:t>
      </w:r>
    </w:p>
    <w:p>
      <w:r>
        <w:rPr>
          <w:color w:val="555555"/>
          <w:sz w:val="17"/>
        </w:rPr>
        <w:t xml:space="preserve">Zitiervorschlag: § 120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